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BEF0" w14:textId="49A1D099" w:rsidR="00CA526F" w:rsidRDefault="00CA526F" w:rsidP="00CA526F">
      <w:pPr>
        <w:rPr>
          <w:rFonts w:ascii="Times New Roman" w:hAnsi="Times New Roman" w:cs="Times New Roman"/>
          <w:sz w:val="24"/>
          <w:szCs w:val="24"/>
        </w:rPr>
      </w:pPr>
      <w:r w:rsidRPr="00AE20AC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AE2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Геодезия</w:t>
      </w:r>
    </w:p>
    <w:p w14:paraId="6958BF6C" w14:textId="560CABDE" w:rsidR="00CA526F" w:rsidRPr="00CA526F" w:rsidRDefault="00CA526F" w:rsidP="00CA526F">
      <w:pPr>
        <w:rPr>
          <w:rFonts w:ascii="Times New Roman" w:hAnsi="Times New Roman" w:cs="Times New Roman"/>
          <w:sz w:val="24"/>
          <w:szCs w:val="24"/>
        </w:rPr>
      </w:pPr>
      <w:r w:rsidRPr="00AE20AC">
        <w:rPr>
          <w:rFonts w:ascii="Times New Roman" w:hAnsi="Times New Roman" w:cs="Times New Roman"/>
          <w:b/>
          <w:bCs/>
          <w:sz w:val="24"/>
          <w:szCs w:val="24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C">
        <w:rPr>
          <w:rFonts w:ascii="Times New Roman" w:hAnsi="Times New Roman" w:cs="Times New Roman"/>
          <w:sz w:val="24"/>
          <w:szCs w:val="24"/>
          <w:u w:val="single"/>
        </w:rPr>
        <w:t>СЭГГ-</w:t>
      </w:r>
      <w:r w:rsidRPr="00CA526F">
        <w:rPr>
          <w:rFonts w:ascii="Times New Roman" w:hAnsi="Times New Roman" w:cs="Times New Roman"/>
          <w:sz w:val="24"/>
          <w:szCs w:val="24"/>
          <w:u w:val="single"/>
        </w:rPr>
        <w:t>218</w:t>
      </w:r>
    </w:p>
    <w:p w14:paraId="0CB481F5" w14:textId="0C9763BD" w:rsidR="00CA526F" w:rsidRDefault="00CA526F" w:rsidP="00CA5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20A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  <w:r w:rsidR="005E6970">
        <w:rPr>
          <w:rFonts w:ascii="Times New Roman" w:hAnsi="Times New Roman" w:cs="Times New Roman"/>
          <w:sz w:val="24"/>
          <w:szCs w:val="24"/>
          <w:u w:val="single"/>
        </w:rPr>
        <w:t>6 «Определение невязки нивелирного хода и сравнение ее с допустимой невязкой хода»</w:t>
      </w:r>
    </w:p>
    <w:p w14:paraId="03EA40D1" w14:textId="26DA0ADA" w:rsidR="00CA526F" w:rsidRDefault="00CA526F" w:rsidP="00CA52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u w:val="single"/>
        </w:rPr>
        <w:t>20.03.2020г.</w:t>
      </w:r>
    </w:p>
    <w:p w14:paraId="3387FB55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rPr>
          <w:rStyle w:val="a7"/>
        </w:rPr>
        <w:t>Невязка</w:t>
      </w:r>
      <w:r>
        <w:t xml:space="preserve"> (расхождение) между суммой полученных из нивелирования превышений и теоретической суммой допускается не больше определенной величины, устанавливаемой техническими условиями на производство данного вида работ. Если невязка хода окажется больше допустимой, измерения в нивелирном ходе переделывают.</w:t>
      </w:r>
    </w:p>
    <w:p w14:paraId="02C1C439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Невязка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t xml:space="preserve"> разомкнутого нивелирного хода вычисляется по формуле:</w:t>
      </w:r>
    </w:p>
    <w:p w14:paraId="5E91781A" w14:textId="07F173E9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03EFF35F" wp14:editId="4A8C6AFE">
            <wp:extent cx="17430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DB95C89" w14:textId="78FFF32F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где </w:t>
      </w:r>
      <w:r>
        <w:rPr>
          <w:i/>
          <w:iCs/>
        </w:rPr>
        <w:t>h</w:t>
      </w:r>
      <w:r>
        <w:rPr>
          <w:vertAlign w:val="subscript"/>
        </w:rPr>
        <w:t>ср</w:t>
      </w:r>
      <w:r>
        <w:t xml:space="preserve"> – сумма средних превышений по всему ходу, мм; </w:t>
      </w:r>
      <w:r>
        <w:rPr>
          <w:i/>
          <w:iCs/>
        </w:rPr>
        <w:t>H</w:t>
      </w:r>
      <w:r>
        <w:rPr>
          <w:vertAlign w:val="subscript"/>
        </w:rPr>
        <w:t>К</w:t>
      </w:r>
      <w:r>
        <w:t xml:space="preserve"> и </w:t>
      </w:r>
      <w:r>
        <w:rPr>
          <w:i/>
          <w:iCs/>
        </w:rPr>
        <w:t>H</w:t>
      </w:r>
      <w:r>
        <w:rPr>
          <w:vertAlign w:val="subscript"/>
        </w:rPr>
        <w:t>Н</w:t>
      </w:r>
      <w:r>
        <w:t xml:space="preserve"> – отметки конечной и начальной точек хода (подставляется в мм). В примере это отметки пикетов ПК0 и ПК7. В задании </w:t>
      </w:r>
      <w:r>
        <w:rPr>
          <w:i/>
          <w:iCs/>
        </w:rPr>
        <w:t>H</w:t>
      </w:r>
      <w:r>
        <w:rPr>
          <w:vertAlign w:val="subscript"/>
        </w:rPr>
        <w:t>Н</w:t>
      </w:r>
      <w:r>
        <w:t xml:space="preserve"> = </w:t>
      </w:r>
      <w:r>
        <w:rPr>
          <w:i/>
          <w:iCs/>
        </w:rPr>
        <w:t>Н</w:t>
      </w:r>
      <w:r>
        <w:rPr>
          <w:vertAlign w:val="subscript"/>
        </w:rPr>
        <w:t>Rp19</w:t>
      </w:r>
      <w:r>
        <w:t xml:space="preserve"> и </w:t>
      </w:r>
      <w:r>
        <w:rPr>
          <w:i/>
          <w:iCs/>
        </w:rPr>
        <w:t>H</w:t>
      </w:r>
      <w:r>
        <w:rPr>
          <w:vertAlign w:val="subscript"/>
        </w:rPr>
        <w:t>К</w:t>
      </w:r>
      <w:r>
        <w:t xml:space="preserve"> =</w:t>
      </w:r>
      <w:r>
        <w:rPr>
          <w:i/>
          <w:iCs/>
        </w:rPr>
        <w:t>H</w:t>
      </w:r>
      <w:r>
        <w:t xml:space="preserve"> </w:t>
      </w:r>
      <w:r>
        <w:rPr>
          <w:vertAlign w:val="subscript"/>
        </w:rPr>
        <w:t>Rp20</w:t>
      </w:r>
      <w:r>
        <w:t xml:space="preserve"> .</w:t>
      </w:r>
    </w:p>
    <w:p w14:paraId="1B1FAB25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Вычисленная невязка хода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t xml:space="preserve"> сравнивается с допустимой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rPr>
          <w:i/>
          <w:iCs/>
        </w:rPr>
        <w:t xml:space="preserve"> </w:t>
      </w:r>
      <w:r>
        <w:rPr>
          <w:vertAlign w:val="subscript"/>
        </w:rPr>
        <w:t>допуст</w:t>
      </w:r>
    </w:p>
    <w:p w14:paraId="28F566D6" w14:textId="0835E225" w:rsidR="00AC4BE3" w:rsidRDefault="00AC4BE3" w:rsidP="00107F2B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275829BA" wp14:editId="0DB5882D">
            <wp:extent cx="130492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мм</w:t>
      </w:r>
    </w:p>
    <w:p w14:paraId="6976E2A7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где </w:t>
      </w:r>
      <w:r>
        <w:rPr>
          <w:i/>
          <w:iCs/>
        </w:rPr>
        <w:t>L</w:t>
      </w:r>
      <w:r>
        <w:t xml:space="preserve"> – длина трассы, км.</w:t>
      </w:r>
    </w:p>
    <w:p w14:paraId="10E20261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>Вычисленная допустимая невязка получается в мм.</w:t>
      </w:r>
    </w:p>
    <w:p w14:paraId="53848B46" w14:textId="77777777" w:rsidR="00107F2B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Сравниваются невязки вычисленная и допустимая. Если вычисленная невязка больше допустимой </w:t>
      </w:r>
      <w:r>
        <w:rPr>
          <w:noProof/>
        </w:rPr>
        <w:drawing>
          <wp:inline distT="0" distB="0" distL="0" distR="0" wp14:anchorId="7C459078" wp14:editId="419374AD">
            <wp:extent cx="9144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тщательно проверяют вычисления, записи и знаки чисел.</w:t>
      </w:r>
    </w:p>
    <w:p w14:paraId="4981F152" w14:textId="7868474F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Если вычисленная невязка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t xml:space="preserve"> меньше или равна допустимой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rPr>
          <w:i/>
          <w:iCs/>
        </w:rPr>
        <w:t xml:space="preserve"> </w:t>
      </w:r>
      <w:r>
        <w:rPr>
          <w:vertAlign w:val="subscript"/>
        </w:rPr>
        <w:t>допуст</w:t>
      </w:r>
      <w:r>
        <w:rPr>
          <w:i/>
          <w:iCs/>
        </w:rPr>
        <w:t>,</w:t>
      </w:r>
      <w:r>
        <w:t xml:space="preserve"> т.е. </w:t>
      </w:r>
      <w:r>
        <w:rPr>
          <w:noProof/>
        </w:rPr>
        <w:drawing>
          <wp:inline distT="0" distB="0" distL="0" distR="0" wp14:anchorId="13C44BE0" wp14:editId="4236471B">
            <wp:extent cx="9144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высотная невязка </w:t>
      </w:r>
      <w:r>
        <w:rPr>
          <w:i/>
          <w:iCs/>
        </w:rPr>
        <w:t>f</w:t>
      </w:r>
      <w:r>
        <w:rPr>
          <w:i/>
          <w:iCs/>
          <w:vertAlign w:val="subscript"/>
        </w:rPr>
        <w:t>h</w:t>
      </w:r>
      <w:r>
        <w:t xml:space="preserve"> распределяется поровну на каждое среднее превышение с противоположным знаком.</w:t>
      </w:r>
    </w:p>
    <w:p w14:paraId="1913A577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>Поправка в превышения вычисляется по формуле:</w:t>
      </w:r>
    </w:p>
    <w:p w14:paraId="21BF956F" w14:textId="341013FF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6C9F82A6" wp14:editId="6C026CAD">
            <wp:extent cx="7239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4DD47693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 xml:space="preserve">где </w:t>
      </w:r>
      <w:r>
        <w:rPr>
          <w:i/>
          <w:iCs/>
        </w:rPr>
        <w:t>m</w:t>
      </w:r>
      <w:r>
        <w:t xml:space="preserve"> – число средних превышений.</w:t>
      </w:r>
    </w:p>
    <w:p w14:paraId="6AD5C888" w14:textId="1EDFD3B9" w:rsidR="00AC4BE3" w:rsidRDefault="00AC4BE3" w:rsidP="003858ED">
      <w:pPr>
        <w:pStyle w:val="a6"/>
        <w:spacing w:before="0" w:beforeAutospacing="0" w:after="0" w:afterAutospacing="0"/>
        <w:ind w:firstLine="284"/>
      </w:pPr>
      <w:r>
        <w:t>Поправки округляются до целых миллиметров и подписываются над средними превышениями.</w:t>
      </w:r>
    </w:p>
    <w:p w14:paraId="267AEF29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t>Контроль вычисления и распределения поправок: сумма поправок должна равняться невязке с противоположным знаком, т.е.</w:t>
      </w:r>
    </w:p>
    <w:p w14:paraId="5535C525" w14:textId="389088D2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3E6415F0" wp14:editId="68F5CB99">
            <wp:extent cx="9906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AD900B3" w14:textId="77777777" w:rsidR="00AC4BE3" w:rsidRPr="003858ED" w:rsidRDefault="00AC4BE3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 w:rsidRPr="003858ED">
        <w:rPr>
          <w:b/>
          <w:bCs/>
          <w:i/>
          <w:iCs/>
        </w:rPr>
        <w:t>Пример вычисления высотной невязки.</w:t>
      </w:r>
    </w:p>
    <w:p w14:paraId="41FC87DA" w14:textId="77777777" w:rsidR="00AC4BE3" w:rsidRPr="003858ED" w:rsidRDefault="00AC4BE3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 w:rsidRPr="003858ED">
        <w:rPr>
          <w:b/>
          <w:bCs/>
          <w:i/>
          <w:iCs/>
        </w:rPr>
        <w:t>Высотная невязка хода равна:</w:t>
      </w:r>
    </w:p>
    <w:p w14:paraId="0FF49236" w14:textId="550D95EF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20AA66F0" wp14:editId="0F9EAADD">
            <wp:extent cx="3133725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мм.</w:t>
      </w:r>
    </w:p>
    <w:p w14:paraId="3499D731" w14:textId="77777777" w:rsidR="00AC4BE3" w:rsidRPr="003858ED" w:rsidRDefault="00AC4BE3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 w:rsidRPr="003858ED">
        <w:rPr>
          <w:b/>
          <w:bCs/>
          <w:i/>
          <w:iCs/>
        </w:rPr>
        <w:t>Допустимая невязка хода (в примере длина хода 700 м)</w:t>
      </w:r>
    </w:p>
    <w:p w14:paraId="0CE147C6" w14:textId="454BFFC8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443BDB5B" wp14:editId="384EE24A">
            <wp:extent cx="24384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мм.</w:t>
      </w:r>
    </w:p>
    <w:p w14:paraId="398B29A8" w14:textId="3554DE45" w:rsidR="00AC4BE3" w:rsidRPr="003858ED" w:rsidRDefault="00AC4BE3" w:rsidP="003858ED">
      <w:pPr>
        <w:pStyle w:val="a6"/>
        <w:spacing w:before="0" w:beforeAutospacing="0" w:after="0" w:afterAutospacing="0"/>
        <w:ind w:firstLine="284"/>
      </w:pPr>
      <w:r w:rsidRPr="003858ED">
        <w:t xml:space="preserve">Сравниваются невязки </w:t>
      </w:r>
      <w:r w:rsidRPr="003858ED">
        <w:rPr>
          <w:noProof/>
        </w:rPr>
        <w:drawing>
          <wp:inline distT="0" distB="0" distL="0" distR="0" wp14:anchorId="475B078D" wp14:editId="7A5DD9AA">
            <wp:extent cx="9144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8ED">
        <w:t xml:space="preserve">, т.е. </w:t>
      </w:r>
      <w:r w:rsidRPr="003858ED">
        <w:rPr>
          <w:noProof/>
        </w:rPr>
        <w:drawing>
          <wp:inline distT="0" distB="0" distL="0" distR="0" wp14:anchorId="0A3D8FBB" wp14:editId="42D92845">
            <wp:extent cx="9239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8ED">
        <w:t xml:space="preserve">. Условие выполняется, поэтому вычисленная невязка (+25 мм) распределяется. Поправка записывается с противоположным знаком над средним превышением. </w:t>
      </w:r>
    </w:p>
    <w:p w14:paraId="2AC9EABF" w14:textId="77777777" w:rsidR="00AC4BE3" w:rsidRPr="003858ED" w:rsidRDefault="00AC4BE3" w:rsidP="003858ED">
      <w:pPr>
        <w:pStyle w:val="a6"/>
        <w:spacing w:before="0" w:beforeAutospacing="0" w:after="0" w:afterAutospacing="0"/>
        <w:ind w:firstLine="284"/>
      </w:pPr>
      <w:r w:rsidRPr="003858ED">
        <w:t>Сумма поправок равна:</w:t>
      </w:r>
    </w:p>
    <w:p w14:paraId="1F3F7DA0" w14:textId="4A278C85" w:rsidR="00AC4BE3" w:rsidRDefault="00AC4BE3" w:rsidP="003858ED">
      <w:pPr>
        <w:pStyle w:val="a6"/>
        <w:spacing w:before="0" w:beforeAutospacing="0" w:after="0" w:afterAutospacing="0"/>
        <w:ind w:firstLine="284"/>
        <w:jc w:val="center"/>
      </w:pPr>
      <w:r>
        <w:rPr>
          <w:noProof/>
        </w:rPr>
        <w:drawing>
          <wp:inline distT="0" distB="0" distL="0" distR="0" wp14:anchorId="76BFB4CC" wp14:editId="6CDF3600">
            <wp:extent cx="38385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61C32D9A" w14:textId="77777777" w:rsidR="00AC4BE3" w:rsidRDefault="00AC4BE3" w:rsidP="003858ED">
      <w:pPr>
        <w:pStyle w:val="a6"/>
        <w:spacing w:before="0" w:beforeAutospacing="0" w:after="0" w:afterAutospacing="0"/>
        <w:ind w:firstLine="284"/>
      </w:pPr>
      <w:r>
        <w:lastRenderedPageBreak/>
        <w:t>Сумма поправок равна невязке с противоположным знаком. Контроль получился.</w:t>
      </w:r>
    </w:p>
    <w:p w14:paraId="17B95BEB" w14:textId="5E411C10" w:rsidR="00AC4BE3" w:rsidRDefault="00AC4BE3" w:rsidP="003858ED">
      <w:pPr>
        <w:pStyle w:val="a6"/>
        <w:spacing w:before="0" w:beforeAutospacing="0" w:after="0" w:afterAutospacing="0"/>
        <w:ind w:firstLine="284"/>
      </w:pPr>
      <w:r>
        <w:t>Обратите внимание: некоторые поправки 2 мм, а другие 3 мм, т.е. нет дробных чисел.</w:t>
      </w:r>
    </w:p>
    <w:p w14:paraId="02DE7FBD" w14:textId="65E1D61D" w:rsidR="00AE660A" w:rsidRDefault="00AE660A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 w:rsidRPr="00D83550">
        <w:rPr>
          <w:b/>
          <w:bCs/>
        </w:rPr>
        <w:t>Пример таблицы нивелирования (просчитывать все в мм; δ</w:t>
      </w:r>
      <w:r w:rsidRPr="00D83550">
        <w:rPr>
          <w:b/>
          <w:bCs/>
          <w:vertAlign w:val="subscript"/>
          <w:lang w:val="en-US"/>
        </w:rPr>
        <w:t>h</w:t>
      </w:r>
      <w:r w:rsidRPr="00D83550">
        <w:rPr>
          <w:b/>
          <w:bCs/>
          <w:vertAlign w:val="subscript"/>
        </w:rPr>
        <w:t xml:space="preserve"> </w:t>
      </w:r>
      <w:r w:rsidRPr="00D83550">
        <w:rPr>
          <w:b/>
          <w:bCs/>
        </w:rPr>
        <w:t>– это столбик с названием «поправки»</w:t>
      </w:r>
      <w:r w:rsidR="00D83550" w:rsidRPr="00D83550">
        <w:rPr>
          <w:b/>
          <w:bCs/>
        </w:rPr>
        <w:t>):</w:t>
      </w:r>
    </w:p>
    <w:p w14:paraId="23E0073B" w14:textId="316EF9A1" w:rsidR="00D83550" w:rsidRDefault="00D83550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>
        <w:rPr>
          <w:noProof/>
        </w:rPr>
        <w:drawing>
          <wp:inline distT="0" distB="0" distL="0" distR="0" wp14:anchorId="6775DB07" wp14:editId="3D2E39DF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5242" w14:textId="20423BCD" w:rsidR="00D83550" w:rsidRDefault="00D83550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</w:p>
    <w:p w14:paraId="27FCDC60" w14:textId="4350E3CF" w:rsidR="00D83550" w:rsidRPr="00D83550" w:rsidRDefault="00D83550" w:rsidP="003858ED">
      <w:pPr>
        <w:pStyle w:val="a6"/>
        <w:spacing w:before="0" w:beforeAutospacing="0" w:after="0" w:afterAutospacing="0"/>
        <w:ind w:firstLine="284"/>
        <w:rPr>
          <w:b/>
          <w:bCs/>
        </w:rPr>
      </w:pPr>
      <w:r>
        <w:rPr>
          <w:b/>
          <w:bCs/>
        </w:rPr>
        <w:t>Задание: решить практическую работу по виртуальному заданию, сделать ее расчеты и таблицу нивелирного хода в электронном формате.</w:t>
      </w:r>
    </w:p>
    <w:p w14:paraId="15DF01B9" w14:textId="77777777" w:rsidR="005E6970" w:rsidRDefault="005E6970" w:rsidP="00CA526F">
      <w:pPr>
        <w:rPr>
          <w:rFonts w:ascii="Times New Roman" w:hAnsi="Times New Roman" w:cs="Times New Roman"/>
          <w:sz w:val="24"/>
          <w:szCs w:val="24"/>
        </w:rPr>
      </w:pPr>
    </w:p>
    <w:p w14:paraId="245BEDDD" w14:textId="77777777" w:rsidR="00E22D9A" w:rsidRDefault="00E22D9A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1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05F6B"/>
    <w:rsid w:val="000E629B"/>
    <w:rsid w:val="00107F2B"/>
    <w:rsid w:val="001630F0"/>
    <w:rsid w:val="00170298"/>
    <w:rsid w:val="001E399F"/>
    <w:rsid w:val="00217845"/>
    <w:rsid w:val="002D3AB5"/>
    <w:rsid w:val="00300CCD"/>
    <w:rsid w:val="003858ED"/>
    <w:rsid w:val="003B3341"/>
    <w:rsid w:val="003D5EFC"/>
    <w:rsid w:val="003F7CDE"/>
    <w:rsid w:val="00496ECA"/>
    <w:rsid w:val="005E6970"/>
    <w:rsid w:val="00731C31"/>
    <w:rsid w:val="007F42D8"/>
    <w:rsid w:val="008407E7"/>
    <w:rsid w:val="0085307F"/>
    <w:rsid w:val="008E6D0F"/>
    <w:rsid w:val="009A71B5"/>
    <w:rsid w:val="00A810D5"/>
    <w:rsid w:val="00AC4BE3"/>
    <w:rsid w:val="00AE660A"/>
    <w:rsid w:val="00BC34A2"/>
    <w:rsid w:val="00C3691E"/>
    <w:rsid w:val="00CA526F"/>
    <w:rsid w:val="00CA6785"/>
    <w:rsid w:val="00CB34D9"/>
    <w:rsid w:val="00CB4BD3"/>
    <w:rsid w:val="00D33509"/>
    <w:rsid w:val="00D83550"/>
    <w:rsid w:val="00DE7C65"/>
    <w:rsid w:val="00E14BCC"/>
    <w:rsid w:val="00E22D9A"/>
    <w:rsid w:val="00E356DF"/>
    <w:rsid w:val="00E40461"/>
    <w:rsid w:val="00E56053"/>
    <w:rsid w:val="00E90A58"/>
    <w:rsid w:val="00EB05C0"/>
    <w:rsid w:val="00ED2A5E"/>
    <w:rsid w:val="00F460EE"/>
    <w:rsid w:val="00FA2F62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C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hyperlink" Target="mailto:tatvlatur@mail.ru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2020-03-14T06:06:00Z</dcterms:created>
  <dcterms:modified xsi:type="dcterms:W3CDTF">2020-03-17T11:19:00Z</dcterms:modified>
</cp:coreProperties>
</file>